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D7. Perfil de las firmas en 2022,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10"/>
        <w:gridCol w:w="1903"/>
        <w:gridCol w:w="2098"/>
        <w:gridCol w:w="2025"/>
        <w:gridCol w:w="2906"/>
        <w:gridCol w:w="2686"/>
        <w:gridCol w:w="2747"/>
        <w:gridCol w:w="2001"/>
        <w:gridCol w:w="1572"/>
        <w:gridCol w:w="17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costo_laboral_sobre_va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pct_permanente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pct_obreros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pct_pequenas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52,719,479.0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21,834,046.5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150,636.9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14,158,589.0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6,263,938.0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93,244.3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6,494,104.0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2,768,974.0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66,409.0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3,370,866.0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1,406,847.0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53,645.1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2,118,149.5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972,222.5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42,348.2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2026-09-20T00:45:47Z</dcterms:modified>
  <cp:category/>
</cp:coreProperties>
</file>