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D10. Diferencia entre grupos en 2022, según el año que se tome como base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518"/>
        <w:gridCol w:w="1915"/>
        <w:gridCol w:w="1952"/>
        <w:gridCol w:w="1890"/>
        <w:gridCol w:w="108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= 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=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=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=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=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=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=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=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=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= 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2026-09-20T00:45:54Z</dcterms:modified>
  <cp:category/>
</cp:coreProperties>
</file>