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Elasticidad implícita empleo-costo laboral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2343"/>
        <w:gridCol w:w="1548"/>
        <w:gridCol w:w="1768"/>
        <w:gridCol w:w="1891"/>
        <w:gridCol w:w="1450"/>
        <w:gridCol w:w="2086"/>
        <w:gridCol w:w="220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primer_eslabon_pct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empleo_ic_inf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empleo_ic_sup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elasticidad_ic_inf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elasticidad_ic_sup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2026-10-01T21:36:28Z</dcterms:modified>
  <cp:category/>
</cp:coreProperties>
</file>