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5c. Mecanismos significativos: 2023 y 2024 frente a 2022, a 2021 y al promedio previo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8"/>
        <w:gridCol w:w="2820"/>
        <w:gridCol w:w="1462"/>
        <w:gridCol w:w="1854"/>
        <w:gridCol w:w="1132"/>
        <w:gridCol w:w="1609"/>
        <w:gridCol w:w="1426"/>
        <w:gridCol w:w="1585"/>
        <w:gridCol w:w="1707"/>
        <w:gridCol w:w="136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mecanismo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4.0906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-7.0371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-6.3787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-10.8026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-8.7594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-8.8254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-11.4295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-6.2214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-8.5339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-8.5056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-10.6337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-6.3776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-6.5164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-8.7345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-4.2983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2026-10-01T21:36:40Z</dcterms:modified>
  <cp:category/>
</cp:coreProperties>
</file>