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6. Efecto en 2023 por tamaño de firma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1707"/>
        <w:gridCol w:w="1426"/>
        <w:gridCol w:w="1585"/>
        <w:gridCol w:w="1707"/>
        <w:gridCol w:w="1132"/>
        <w:gridCol w:w="1609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-4.721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7,151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2026-10-01T21:36:42Z</dcterms:modified>
  <cp:category/>
</cp:coreProperties>
</file>