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Coeficiente de 2023 con año base 2022 y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900"/>
        <w:gridCol w:w="1426"/>
        <w:gridCol w:w="1585"/>
        <w:gridCol w:w="1707"/>
        <w:gridCol w:w="1132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2026-10-01T21:36:43Z</dcterms:modified>
  <cp:category/>
</cp:coreProperties>
</file>