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9. Efecto en 2023 por quintil del Kaitz frente al quintil 1 (dosis-respuesta)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820"/>
        <w:gridCol w:w="985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-14.308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2026-10-01T21:36:47Z</dcterms:modified>
  <cp:category/>
</cp:coreProperties>
</file>