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Mecanismos de ajuste ordenados por magnitud, en desviaciones estándar del propio mecanismo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Mecanismos de ajuste ordenados por magnitud, en desviaciones estándar del propio mecanismo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55"/>
        <w:gridCol w:w="3321"/>
        <w:gridCol w:w="2074"/>
        <w:gridCol w:w="1193"/>
        <w:gridCol w:w="1316"/>
        <w:gridCol w:w="1756"/>
        <w:gridCol w:w="961"/>
        <w:gridCol w:w="2074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</w:tbl>
    <w:p>
      <w:pPr>
        <w:pStyle w:val="Titre2"/>
      </w:pPr>
      <w:r>
        <w:t xml:space="preserve">Tabla 2. Mecanismos de ajuste dentro de cada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Mecanismos de ajuste dentro de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3321"/>
        <w:gridCol w:w="2074"/>
        <w:gridCol w:w="1193"/>
        <w:gridCol w:w="1316"/>
        <w:gridCol w:w="1756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efecto_B_en_DE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ic_B_sup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p_B_ajustado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7,152</w:t>
            </w:r>
          </w:p>
        </w:tc>
      </w:tr>
    </w:tbl>
    <w:p>
      <w:pPr>
        <w:pStyle w:val="Titre2"/>
      </w:pPr>
      <w:r>
        <w:t xml:space="preserve">Tabla 3. Perfil de ajuste: qué canal domina en cada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Perfil de ajuste: qué canal domina en cada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355"/>
        <w:gridCol w:w="1645"/>
        <w:gridCol w:w="2049"/>
        <w:gridCol w:w="1548"/>
        <w:gridCol w:w="3321"/>
        <w:gridCol w:w="190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mecanismo_dominante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/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(VA/trabajador)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(sí/no)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Tabla 4. Magnitud del choque y respuesta de empleo por grupo de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Magnitud del choque y respuesta de empleo por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3138"/>
        <w:gridCol w:w="1695"/>
        <w:gridCol w:w="961"/>
        <w:gridCol w:w="1695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p>
      <w:pPr>
        <w:pStyle w:val="Titre2"/>
      </w:pPr>
      <w:r>
        <w:t xml:space="preserve">Tabla 5. Síntesis: choque, empleo y canal principal de ajuste por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Síntesis: choque, empleo y canal principal de ajuste por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4544"/>
        <w:gridCol w:w="3040"/>
        <w:gridCol w:w="3810"/>
        <w:gridCol w:w="2306"/>
        <w:gridCol w:w="3223"/>
        <w:gridCol w:w="1658"/>
        <w:gridCol w:w="25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sig_A_Costo laboral por trabajador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sig_A_Empleo 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efecto_canal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canales_significativos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salarial obrero/admin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2026-09-26T19:44:48Z</dcterms:modified>
  <cp:category/>
</cp:coreProperties>
</file>