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Magnitud del choque y respuesta de empleo por grupo de tamaño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3138"/>
        <w:gridCol w:w="1695"/>
        <w:gridCol w:w="961"/>
        <w:gridCol w:w="1695"/>
        <w:gridCol w:w="961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efecto_A_pct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efecto_B_pct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2026-09-26T19:44:44Z</dcterms:modified>
  <cp:category/>
</cp:coreProperties>
</file>