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Síntesis: choque, empleo y canal principal de ajuste por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4544"/>
        <w:gridCol w:w="3040"/>
        <w:gridCol w:w="3810"/>
        <w:gridCol w:w="2306"/>
        <w:gridCol w:w="3223"/>
        <w:gridCol w:w="1658"/>
        <w:gridCol w:w="253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efecto_A_pct_Costo laboral por trabajador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efecto_A_pct_Empleo 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sig_A_Costo laboral por trabajador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sig_A_Empleo 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canal_principal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canales_significativos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2026-09-26T19:44:45Z</dcterms:modified>
  <cp:category/>
</cp:coreProperties>
</file>