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Costo laboral por trabajador, año por año frente a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132"/>
        <w:gridCol w:w="1426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2026-09-26T19:45:00Z</dcterms:modified>
  <cp:category/>
</cp:coreProperties>
</file>