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Efecto en 2023 por tamaño de firma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1707"/>
        <w:gridCol w:w="1426"/>
        <w:gridCol w:w="1585"/>
        <w:gridCol w:w="1707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2026-09-26T19:44:22Z</dcterms:modified>
  <cp:category/>
</cp:coreProperties>
</file>