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Coeficiente de 2023 con año base 2022 y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900"/>
        <w:gridCol w:w="1426"/>
        <w:gridCol w:w="1585"/>
        <w:gridCol w:w="1707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2026-09-26T19:44:22Z</dcterms:modified>
  <cp:category/>
</cp:coreProperties>
</file>