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A3. Falsación replicada en 2015, 2016, 2019, con 2023 de referencia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89"/>
        <w:gridCol w:w="2636"/>
        <w:gridCol w:w="1194"/>
        <w:gridCol w:w="1988"/>
        <w:gridCol w:w="1426"/>
        <w:gridCol w:w="1671"/>
        <w:gridCol w:w="1842"/>
        <w:gridCol w:w="3370"/>
        <w:gridCol w:w="1426"/>
        <w:gridCol w:w="1071"/>
        <w:gridCol w:w="1132"/>
        <w:gridCol w:w="160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ventana_anios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aumento_real_acumulado_pct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2026-09-26T18:57:37Z</dcterms:modified>
  <cp:category/>
</cp:coreProperties>
</file>