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A5. Bite, ventana de 1 año, exposición 4 años antes,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99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  <w:gridCol w:w="2172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es_2023_o_2024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2026-09-26T18:57:44Z</dcterms:modified>
  <cp:category/>
</cp:coreProperties>
</file>