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BUG. % de firmas-año (2015-2024, sin 2020/2022) con sector/depto/tamaño distinto al de 2022 de esa misma firma -- confirmado en 05, 06, 07 del pipeline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3089"/>
        <w:gridCol w:w="2380"/>
        <w:gridCol w:w="2245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pct_al_menos_uno_distinto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pct_tamano_distinto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pct_sector_distinto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2026-09-26T18:57:27Z</dcterms:modified>
  <cp:category/>
</cp:coreProperties>
</file>