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Salario mínimo, IPC del año vigente, aumento nominal y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</w:tbl>
    <w:p>
      <w:pPr>
        <w:pStyle w:val="Titre2"/>
      </w:pPr>
      <w:r>
        <w:t xml:space="preserve">Tabla 1. Celda limpia año por año,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p>
      <w:pPr>
        <w:pStyle w:val="Titre2"/>
      </w:pPr>
      <w:r>
        <w:t xml:space="preserve">Tabla 0b. Año de exposición y año base usados para cada año de choque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0b.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p>
      <w:pPr>
        <w:pStyle w:val="Titre2"/>
      </w:pPr>
      <w:r>
        <w:t xml:space="preserve">Tabla 2. Diferencial promedio por grupo de aumento real, para cada medida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p>
      <w:pPr>
        <w:pStyle w:val="Titre2"/>
      </w:pPr>
      <w:r>
        <w:t xml:space="preserve">Tabla 2d. Años individuales de los grupos alto (2023, 2024) y negativo (2015, 2022), sin promediar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p>
      <w:pPr>
        <w:pStyle w:val="Titre2"/>
      </w:pPr>
      <w:r>
        <w:t xml:space="preserve">Tabla 2b. Correlación entre el diferencial (celda limpia) y el aumento real,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p>
      <w:pPr>
        <w:pStyle w:val="Titre2"/>
      </w:pPr>
      <w:r>
        <w:t xml:space="preserve">Tabla 2c. Veredicto de escalamiento por medida (celda limpia, grupos de aumento real)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2c. Veredicto de escalamiento por medida (celda limpia, grupos de aumento real)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961"/>
        <w:gridCol w:w="1438"/>
        <w:gridCol w:w="1242"/>
        <w:gridCol w:w="2062"/>
        <w:gridCol w:w="25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alto_supera_negativo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3. Cuánto del coeficiente de 2023 sobrevive al cortar el traslape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4. Compresión salarial: 2023 frente a los años normales,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5b. Rezago 0-5, 2023 y 2024 lado a lado,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5b. Rezago 0-5, 2023 y 2024 lado a lado,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83"/>
        <w:gridCol w:w="1988"/>
        <w:gridCol w:w="1622"/>
        <w:gridCol w:w="1145"/>
        <w:gridCol w:w="1304"/>
        <w:gridCol w:w="1622"/>
        <w:gridCol w:w="1145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5. Diferencial de 2023 y 2024 según el rezago de la exposición,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p>
      <w:pPr>
        <w:pStyle w:val="Titre2"/>
      </w:pPr>
      <w:r>
        <w:t xml:space="preserve">Tabla 5c. ¿Se aplana en positivo y significativo en rezago 4-5?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2026-09-26T18:28:50Z</dcterms:modified>
  <cp:category/>
</cp:coreProperties>
</file>