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0b. Año de exposición y año base usados para cada año de choque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988"/>
        <w:gridCol w:w="14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2026-09-26T18:28:27Z</dcterms:modified>
  <cp:category/>
</cp:coreProperties>
</file>