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2d. Años individuales de los grupos alto (2023, 2024) y negativo (2015, 2022), sin promediar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441"/>
        <w:gridCol w:w="1671"/>
        <w:gridCol w:w="1988"/>
        <w:gridCol w:w="2172"/>
        <w:gridCol w:w="1426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2026-09-26T18:28:29Z</dcterms:modified>
  <cp:category/>
</cp:coreProperties>
</file>