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Diferencial de 2023 y 2024 según el rezago de la exposición, por medida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2172"/>
        <w:gridCol w:w="1426"/>
        <w:gridCol w:w="1071"/>
        <w:gridCol w:w="1132"/>
        <w:gridCol w:w="1609"/>
        <w:gridCol w:w="1010"/>
        <w:gridCol w:w="1083"/>
        <w:gridCol w:w="135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anio_eval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2026-09-26T18:28:43Z</dcterms:modified>
  <cp:category/>
</cp:coreProperties>
</file>