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Cinco medidas x tres ventanas x tres casos (2023, 2024, falsación 2015)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2. Firmas por combinación de caso, medida y ventana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Firmas por combinación de caso, medida y ventana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2325"/>
        <w:gridCol w:w="2814"/>
        <w:gridCol w:w="4068"/>
        <w:gridCol w:w="2325"/>
        <w:gridCol w:w="2459"/>
        <w:gridCol w:w="2288"/>
        <w:gridCol w:w="2325"/>
        <w:gridCol w:w="2814"/>
        <w:gridCol w:w="40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3. Las tres ventanas lado a lado, por caso y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4. ¿Aparece cada medida al saltar el año contaminado, en 2023 y en la falsación de 2015?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2026-09-26T18:42:08Z</dcterms:modified>
  <cp:category/>
</cp:coreProperties>
</file>