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Firmas por combinación de caso, medida y ventana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41"/>
        <w:gridCol w:w="2636"/>
        <w:gridCol w:w="2325"/>
        <w:gridCol w:w="2814"/>
        <w:gridCol w:w="4068"/>
        <w:gridCol w:w="2325"/>
        <w:gridCol w:w="2459"/>
        <w:gridCol w:w="2288"/>
        <w:gridCol w:w="2325"/>
        <w:gridCol w:w="2814"/>
        <w:gridCol w:w="406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caso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2022-&gt;2023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2021-&gt;2023 (salta 2022)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2019-&gt;2023 (larga, = año exposición)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2023-&gt;2024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2022-&gt;2024 (2 años)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2021-&gt;2024 (larga)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2014-&gt;2015 (usual)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2013-&gt;2015 (salta 2014)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2011-&gt;2015 (larga, = año exposición)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4,365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5,459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 (falsación, aumento real -2,03%)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5,459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2026-09-26T18:42:02Z</dcterms:modified>
  <cp:category/>
</cp:coreProperties>
</file>