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3b. Diferencial promedio por grupo de aumento real del salario mínimo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92"/>
        <w:gridCol w:w="2735"/>
        <w:gridCol w:w="1181"/>
        <w:gridCol w:w="2465"/>
        <w:gridCol w:w="1903"/>
        <w:gridCol w:w="196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grupo_aumento_real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n_anios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efecto_promedio_pct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efecto_min_pct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efecto_max_pct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(2023-2024)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2023, 2024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Intermedio (2016-2019)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2016, 2017, 2018, 2019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5.048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Bajo o negativo (2015, 2021, 2022)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5.673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2026-09-26T04:45:13Z</dcterms:modified>
  <cp:category/>
</cp:coreProperties>
</file>