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Síntesis: choque, empleo y canal principal de ajuste por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4544"/>
        <w:gridCol w:w="3040"/>
        <w:gridCol w:w="3810"/>
        <w:gridCol w:w="2306"/>
        <w:gridCol w:w="3223"/>
        <w:gridCol w:w="1658"/>
        <w:gridCol w:w="25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canales_significativos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2026-09-27T14:47:40Z</dcterms:modified>
  <cp:category/>
</cp:coreProperties>
</file>