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Costo laboral por trabajador, año por año frente a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4.6779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2026-09-27T14:48:35Z</dcterms:modified>
  <cp:category/>
</cp:coreProperties>
</file>