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2.2b. Correlación entre el diferencial (celda limpia) y el aumento real,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181"/>
        <w:gridCol w:w="295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correlacion_aumento_real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2026-09-27T14:51:01Z</dcterms:modified>
  <cp:category/>
</cp:coreProperties>
</file>