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5.0. Síntesis de las seis afirmaciones auditadas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379"/>
        <w:gridCol w:w="16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afirmacion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veredicto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A1. Traslape algebraico entre w_obrero y 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A2. La caída del coeficiente es MÁS que atenuación clásica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A3. Las ventanas largas producen efecto también en años sin choque real (independiente del choque)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A4. El diferencial escala con el tamaño real del aumento del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A5. Bite (ventana 1 año, exposición 4 años antes) es la única celda limpia sin falsos positivos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FALSADO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 de empleo estimado (-1,75%) con exposición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2026-09-27T14:51:53Z</dcterms:modified>
  <cp:category/>
</cp:coreProperties>
</file>