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Atribución del cambio a muestra vs. controles -- empleo lectura A y tendencias previas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17"/>
        <w:gridCol w:w="1157"/>
        <w:gridCol w:w="1157"/>
        <w:gridCol w:w="1157"/>
        <w:gridCol w:w="1621"/>
        <w:gridCol w:w="171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cifra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pct_controles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Empleo, lectura A (efecto_pct)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Tendencias previas del empleo (p_previos)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2026-09-27T14:53:22Z</dcterms:modified>
  <cp:category/>
</cp:coreProperties>
</file>