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4.3. Coeficiente de 2023 frente al promedio de los coeficientes previos (2015-2019, 2021), en valor absoluto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1597"/>
        <w:gridCol w:w="2465"/>
        <w:gridCol w:w="1854"/>
        <w:gridCol w:w="1707"/>
        <w:gridCol w:w="2698"/>
        <w:gridCol w:w="3456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promedio_previo_pct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coef_2023_pct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mismo_signo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pct_2023_de_la_previa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c2023_MENOR_que_la_previa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-3.638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-1.577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35.200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2026-09-27T14:54:49Z</dcterms:modified>
  <cp:category/>
</cp:coreProperties>
</file>