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5.1. Criterios de lectura, resumidos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965"/>
        <w:gridCol w:w="127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criterio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Bite, celda limpia (2019): signo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Bite, celda limpia (2019): significativo al 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Bite, rezago 4-5: se mantiene negativo y significativo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Bite, tendencias previas (exposición 2019): p-valor conjunto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Bite: ¿el coef. de 2023 es MENOR que el promedio de los previos?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Medidas (de 5) negativas en la celda limpia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Medidas (de 5) negativas Y significativas al 5% en la celda limpia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Medidas (de 5) que NO rechazan tendencias previas (p &gt;= 0,10)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Medidas (de 5) donde 2023 es MENOR que el promedio previo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2026-09-27T14:54:50Z</dcterms:modified>
  <cp:category/>
</cp:coreProperties>
</file>