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Test conjunto de tendencias previas: años, F, grados de libertad, p-valor y clustering, exposición 2019 y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46"/>
        <w:gridCol w:w="2636"/>
        <w:gridCol w:w="1597"/>
        <w:gridCol w:w="3958"/>
        <w:gridCol w:w="1181"/>
        <w:gridCol w:w="1707"/>
        <w:gridCol w:w="716"/>
        <w:gridCol w:w="1512"/>
        <w:gridCol w:w="1132"/>
        <w:gridCol w:w="2684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anios_incluidos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estadistico_F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(celda limpia)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(celda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(celda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(celda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(celda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(estándar, contaminada)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(estándar, contaminada)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(estándar, contaminada)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(estándar, contaminada)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 (estándar, contaminada)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2015, 2016, 2017, 2018, 2019, 2021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4.3638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6,178.0000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Clustered (NORDEMP)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2026-09-27T14:55:57Z</dcterms:modified>
  <cp:category/>
</cp:coreProperties>
</file>