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5b. Caracterización por tamaño y sector de las firmas exclusivas de cada año y las que están en ambas (Bite)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6"/>
        <w:gridCol w:w="1254"/>
        <w:gridCol w:w="2539"/>
        <w:gridCol w:w="2527"/>
        <w:gridCol w:w="2368"/>
        <w:gridCol w:w="2991"/>
        <w:gridCol w:w="310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tamano_pequena_pct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tamano_mediana_pct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tamano_grande_pct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n_sectores_ciiu4_distintos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pct_con_clasificacion_2022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 (propio año: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 (propio año: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ambas (propio año: 2022)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2026-09-27T14:56:02Z</dcterms:modified>
  <cp:category/>
</cp:coreProperties>
</file>