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Misma pendiente anual, excluyendo 2019 (el año que también se usa para construir la exposición)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2026-09-27T14:57:32Z</dcterms:modified>
  <cp:category/>
</cp:coreProperties>
</file>