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Regla de decisión aplicada (fijada antes de correr)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1940"/>
        <w:gridCol w:w="2331"/>
        <w:gridCol w:w="2380"/>
        <w:gridCol w:w="641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a_iv2019_signif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b_sin_pretendencia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c_excede_normales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veredicto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Asociación que no se distingue de años normales (capítulo 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Asociación que no se distingue de años normales (capítulo 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Asociación que no se distingue de años normales (capítulo 6)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Asociación que no se distingue de años normales (capítulo 6)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2026-09-27T15:35:30Z</dcterms:modified>
  <cp:category/>
</cp:coreProperties>
</file>