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Salario mínimo mensual y aumento anual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1218"/>
        <w:gridCol w:w="2417"/>
        <w:gridCol w:w="1756"/>
        <w:gridCol w:w="261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inflacion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aumento_real_decreto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2026-09-27T17:41:02Z</dcterms:modified>
  <cp:category/>
</cp:coreProperties>
</file>