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Características de las firmas por grupo de exposición (2022)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52"/>
        <w:gridCol w:w="1010"/>
        <w:gridCol w:w="1903"/>
        <w:gridCol w:w="2172"/>
        <w:gridCol w:w="2098"/>
        <w:gridCol w:w="3395"/>
        <w:gridCol w:w="305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exposicion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salario_promedio_anual_miles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participacion_permanentes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188.73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43,953.73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69.53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29,598.85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82.89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2026-09-27T17:41:04Z</dcterms:modified>
  <cp:category/>
</cp:coreProperties>
</file>