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3b. Costo laboral por trabajador en veces el salario mínimo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952"/>
        <w:gridCol w:w="2783"/>
        <w:gridCol w:w="2319"/>
        <w:gridCol w:w="250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mediana_veces_minimo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debajo_del_minimo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mas_de_10_minimos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2026-09-27T17:41:05Z</dcterms:modified>
  <cp:category/>
</cp:coreProperties>
</file>