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5. Diez sectores (CIIU4) con más firmas y % en alta exposición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22"/>
        <w:gridCol w:w="1010"/>
        <w:gridCol w:w="3077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sector_2022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porcentaje_alta_exposicion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68.6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73.6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41.5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2026-09-27T17:41:06Z</dcterms:modified>
  <cp:category/>
</cp:coreProperties>
</file>