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13b. Brecha salarial mediana frente a los obreros (%, en log x 100), por año y grupo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979"/>
        <w:gridCol w:w="2759"/>
        <w:gridCol w:w="2759"/>
        <w:gridCol w:w="25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brecha_admin_obrero_pct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brecha_prof_obrero_pct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firmas_con_dato_admin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firmas_con_dato_prof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2026-09-27T17:58:23Z</dcterms:modified>
  <cp:category/>
</cp:coreProperties>
</file>