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13c. Compresión salarial: efecto sobre salarios por categoría y brechas (exploratorio)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59"/>
        <w:gridCol w:w="1462"/>
        <w:gridCol w:w="1854"/>
        <w:gridCol w:w="1132"/>
        <w:gridCol w:w="1609"/>
        <w:gridCol w:w="1609"/>
        <w:gridCol w:w="1731"/>
        <w:gridCol w:w="1829"/>
        <w:gridCol w:w="1010"/>
        <w:gridCol w:w="2160"/>
        <w:gridCol w:w="158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obrero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42,238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-1.4916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administrativo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profesional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administrativo - obrero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profesional - obrero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26,477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-1.3073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2026-09-27T18:01:07Z</dcterms:modified>
  <cp:category/>
</cp:coreProperties>
</file>