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14. Efecto por tamaño de firma (salario y empleo, 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2026-09-27T18:08:01Z</dcterms:modified>
  <cp:category/>
</cp:coreProperties>
</file>