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Primer eslabón: aumento del salario promedio en firmas más expuestas (tres lecturas)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96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frente al cambio anual típico 2016-2019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Promedio después menos promedio antes (DiD simple)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-0.8527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 (sin el año base)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2026-09-27T17:49:34Z</dcterms:modified>
  <cp:category/>
</cp:coreProperties>
</file>