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0. Columnas usadas: porcentaje de vacíos y ceros en 2022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948"/>
        <w:gridCol w:w="2796"/>
        <w:gridCol w:w="271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porcentaje_vacios_2022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porcentaje_ceros_2022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NORDEMP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CIIU4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DPTO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tamano_empresa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empleo_temporal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participacion_permanente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Bite2022_obreros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VALORVEN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costos_totales_personal_total_c3r10c3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sueldos_permanentes_obreros_c3r2c1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sueldos_permanentes_administrativos_c3r2c2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sueldos_permanentes_profesionales_c3r2pt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obreros_permanentes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administrativos_permanentes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profesionales_permanentes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temporal_directo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temporal_agencias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67.5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aprendices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43.8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n_establecimientos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2026-09-27T17:41:01Z</dcterms:modified>
  <cp:category/>
</cp:coreProperties>
</file>