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15. Supuestos del modelo y validaciones pendientes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302"/>
        <w:gridCol w:w="15440"/>
        <w:gridCol w:w="8017"/>
        <w:gridCol w:w="2273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que_significa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evidencia_en_este_script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estado_segun_resultados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Tendencias paralelas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aumento de 2023, el empleo de firmas con alta y baja exposición habría evolucionado de forma parecida (dentro del mismo sector y departamento).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Gráficos G06 y G07: coeficientes de los años previos a 2023.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se cumple: el empleo de las firmas expuestas cae frente al de las demás desde 2015, y la trayectoria no cambia en 2023.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Kaitz mide la exposición al choque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Las firmas con Kaitz más alto enfrentaron un aumento mayor de su costo laboral en 2023.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Tabla 8 (lecturas A a D) y gráfico G05.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se verifica: frente a 2021 el costo no sube más en las expuestas (-0,2%, p = 0,78); el +3,3% frente a 2022 es el rebote del año base. El placebo rodante y la variable instrumental (09 y 14) no distinguen 2023 de un año normal.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Choques comunes absorbidos por los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Pandemia, inflación, ciclo económico y subsidios afectaron por igual a las firmas de un mismo año, sector y departamento.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Sección 5: dummies de pandemia y subsidios absorbidas por los efectos fijos.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Parcial: los efectos fijos absorben lo común a cada año, sector y departamento, pero no un efecto distinto del PAEF o del incentivo al empleo en firmas de salarios bajos.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Sin anticipación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Las firmas no ajustaron su empleo antes de conocer el aumento (decretado en diciembre de 2022).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Coeficientes de 2021 en los estudios de evento.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evaluable por separado: la tendencia previa impide distinguir anticipación de trayectoria.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Exposición medida antes del choque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 Kaitz de 2022 no está afectado por el aumento de 2023.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 construido con datos de 2022.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Parcial: el Kaitz es previo al alza de 2023, pero se mide después del alza de 2022 (la mayor en términos reales según el decreto) y comparte el ruido del año base con los resultados.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Resultados exploratorios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Composición del empleo y ventas se reportan como asociaciones, no como efectos causales.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Tabla 13.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 mantienen como asociaciones: reflejan la menor dinámica de las firmas expuestas.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Compresión salarial (exploratorio)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 brecha entre obreros y otras categorías cambia por el aumento del mínimo y no por cambios en quién trabaja en la firma.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Tabla 13b, gráfico G08b y tabla 13c.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verificable con la EAM: el salario de obreros entra en la brecha y en el Kaitz, solo hay promedios por categoría y la medición del salario integral cambió en 2020.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2026-09-27T18:07:22Z</dcterms:modified>
  <cp:category/>
</cp:coreProperties>
</file>