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2: % incoherente por banda de intensidad de temporal directo, 2022 (correlación=-0.019)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5"/>
        <w:gridCol w:w="961"/>
        <w:gridCol w:w="19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banda_intensidad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 (solo permanentes)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33.390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2026-09-26T22:19:47Z</dcterms:modified>
  <cp:category/>
</cp:coreProperties>
</file>