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Causa 3: resumen (chi2=506.1, p=4.57e-112)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45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metrica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reporta C3R20&gt;0 entre incoherentes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66.800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reporta C3R20&gt;0 entre coherentes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77.820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Diferencia promedio por sector (pp)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9.980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2026-09-26T22:19:49Z</dcterms:modified>
  <cp:category/>
</cp:coreProperties>
</file>