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4: persistencia de la incoherencia, año a año (condicional vs. tasa base)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487"/>
        <w:gridCol w:w="961"/>
        <w:gridCol w:w="2576"/>
        <w:gridCol w:w="36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anio_desde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anio_hasta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pct_incoherente_si_lo_era_antes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67.490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2026-09-26T22:19:49Z</dcterms:modified>
  <cp:category/>
</cp:coreProperties>
</file>