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de atribución: evidencia por causa (no es un waterfall estricto -- ver aviso en el script)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4"/>
        <w:gridCol w:w="5302"/>
        <w:gridCol w:w="16319"/>
        <w:gridCol w:w="11233"/>
        <w:gridCol w:w="72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ventana_valida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pct_incoherencia_resuelto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Base reducida salario integral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80.95% incoherentes CON integral vs 61.14% SIN (chi2=2789, p≈0). Pero la corrección probada (divisor mezclado) NO reduce la incoherencia: 65.27% -&gt; 65.51%.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 (la corrección probada no funciona)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Asociada, NO resuelta con esta corrección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Mezcla de poblaciones (C2+C4)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todos los años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incoherencia vs. intensidad temporal directo ≈ 0 (-0.019). Poblaciones emparejadas EMPEORAN: 34.9% -&gt; 51.24% incoherente.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-16.3pp (empeora)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Firmas no contribuyentes de renta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2013-2016 (único período con C3R20 informativo)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66.8% de incoherentes reporta C3R20&gt;0 vs. 77.82% de coherentes (11pp, chi2=506, p=4.6e-112), consistente en 23 sectores (dif. promedio 9.98pp).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medible directamente en 2022 (C3R20=0 universal desde 2017, Ley 1819)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 más fuerte de las 4, pero no verificable en el año de interés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Ruido de reporte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todos los años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Persistencia condicional post-2013: 57%-70% vs. tasa base 25%-35%. En 2019-2021-2022: 10.46% SIEMPRE incoherente, 40.42% NUNCA, 49.12% intermitente.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~40% del patrón es compatible con ruido puro (nunca incoherente); ~10% persistente (estructural, sin resolver)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mayoritariamente ruido, con un núcleo estructural no resuelto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2026-09-26T22:19:50Z</dcterms:modified>
  <cp:category/>
</cp:coreProperties>
</file>