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Magnitud del residuo como % de C3R10: mediana, percentiles, % que supera 5%/20%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1206"/>
        <w:gridCol w:w="1670"/>
        <w:gridCol w:w="1194"/>
        <w:gridCol w:w="1194"/>
        <w:gridCol w:w="1194"/>
        <w:gridCol w:w="1194"/>
        <w:gridCol w:w="2037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pct_supera_5pct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pct_supera_20pct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123,598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130,369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2026-09-26T22:18:54Z</dcterms:modified>
  <cp:category/>
</cp:coreProperties>
</file>