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1: bandas y percentiles de la tasa de parafiscales, 2022 (base: C3R2 + C3R4 (permanentes + temporal directo))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961"/>
        <w:gridCol w:w="1854"/>
        <w:gridCol w:w="1854"/>
        <w:gridCol w:w="1426"/>
        <w:gridCol w:w="2013"/>
        <w:gridCol w:w="1084"/>
        <w:gridCol w:w="1084"/>
        <w:gridCol w:w="1255"/>
        <w:gridCol w:w="10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pct_cerca_004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pct_cerca_009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pct_fuera_rango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2026-09-26T22:19:20Z</dcterms:modified>
  <cp:category/>
</cp:coreProperties>
</file>